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866"/>
      </w:tblGrid>
      <w:tr w:rsidR="00A97614" w:rsidRPr="00A97614" w:rsidTr="00CC0052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7614" w:rsidRPr="00A97614" w:rsidRDefault="00A97614" w:rsidP="00A9761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Courier New" w:eastAsia="Times New Roman" w:hAnsi="Courier New" w:cs="Courier New"/>
                <w:b/>
                <w:szCs w:val="24"/>
              </w:rPr>
            </w:pPr>
            <w:r w:rsidRPr="00A97614">
              <w:rPr>
                <w:rFonts w:ascii="Courier New" w:eastAsia="Times New Roman" w:hAnsi="Courier New" w:cs="Courier New"/>
                <w:b/>
                <w:szCs w:val="24"/>
              </w:rPr>
              <w:object w:dxaOrig="870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51.35pt" o:ole="" fillcolor="window">
                  <v:imagedata r:id="rId7" o:title=""/>
                </v:shape>
                <o:OLEObject Type="Embed" ProgID="MSPhotoEd.3" ShapeID="_x0000_i1025" DrawAspect="Content" ObjectID="_1732522152" r:id="rId8"/>
              </w:object>
            </w:r>
          </w:p>
        </w:tc>
        <w:tc>
          <w:tcPr>
            <w:tcW w:w="78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7614" w:rsidRPr="00A97614" w:rsidRDefault="00A97614" w:rsidP="00A97614">
            <w:pPr>
              <w:jc w:val="center"/>
              <w:rPr>
                <w:rFonts w:eastAsia="Times New Roman"/>
                <w:b/>
                <w:sz w:val="32"/>
                <w:szCs w:val="32"/>
                <w:lang w:eastAsia="cs-CZ"/>
              </w:rPr>
            </w:pPr>
            <w:r w:rsidRPr="00A97614">
              <w:rPr>
                <w:rFonts w:eastAsia="Times New Roman"/>
                <w:b/>
                <w:sz w:val="32"/>
                <w:szCs w:val="32"/>
                <w:lang w:eastAsia="cs-CZ"/>
              </w:rPr>
              <w:t>Úrad práce, sociálnych vecí a rodiny </w:t>
            </w:r>
            <w:r w:rsidR="00E9218C">
              <w:rPr>
                <w:rFonts w:eastAsia="Times New Roman"/>
                <w:b/>
                <w:sz w:val="32"/>
                <w:szCs w:val="32"/>
                <w:lang w:eastAsia="cs-CZ"/>
              </w:rPr>
              <w:t>Prešov</w:t>
            </w:r>
          </w:p>
          <w:p w:rsidR="00A97614" w:rsidRPr="00A97614" w:rsidRDefault="00E9218C" w:rsidP="00A97614">
            <w:pPr>
              <w:tabs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Slovenská 87, 080 28  Prešov</w:t>
            </w:r>
            <w:r w:rsidR="00A97614" w:rsidRPr="00A97614">
              <w:rPr>
                <w:rFonts w:eastAsia="Times New Roman"/>
                <w:szCs w:val="24"/>
              </w:rPr>
              <w:t xml:space="preserve"> </w:t>
            </w:r>
          </w:p>
        </w:tc>
      </w:tr>
    </w:tbl>
    <w:p w:rsidR="00A97614" w:rsidRPr="00A97614" w:rsidRDefault="00A97614" w:rsidP="00A97614">
      <w:pPr>
        <w:ind w:left="5580" w:hanging="1080"/>
        <w:rPr>
          <w:rFonts w:eastAsia="Times New Roman"/>
          <w:szCs w:val="24"/>
          <w:lang w:eastAsia="cs-CZ"/>
        </w:rPr>
      </w:pPr>
      <w:r w:rsidRPr="00A97614">
        <w:rPr>
          <w:rFonts w:eastAsia="Times New Roman"/>
          <w:szCs w:val="24"/>
          <w:lang w:eastAsia="cs-CZ"/>
        </w:rPr>
        <w:tab/>
      </w:r>
      <w:r w:rsidRPr="00A97614">
        <w:rPr>
          <w:rFonts w:eastAsia="Times New Roman"/>
          <w:szCs w:val="24"/>
          <w:lang w:eastAsia="cs-CZ"/>
        </w:rPr>
        <w:tab/>
      </w:r>
    </w:p>
    <w:p w:rsidR="005755EB" w:rsidRDefault="00A97614" w:rsidP="00A97614">
      <w:pPr>
        <w:ind w:left="4678" w:hanging="4678"/>
        <w:rPr>
          <w:rFonts w:eastAsia="Times New Roman"/>
          <w:szCs w:val="24"/>
          <w:lang w:eastAsia="cs-CZ"/>
        </w:rPr>
      </w:pPr>
      <w:r w:rsidRPr="00A97614">
        <w:rPr>
          <w:rFonts w:eastAsia="Times New Roman"/>
          <w:szCs w:val="24"/>
          <w:lang w:eastAsia="cs-CZ"/>
        </w:rPr>
        <w:t xml:space="preserve">    </w:t>
      </w:r>
      <w:r w:rsidRPr="00A97614">
        <w:rPr>
          <w:rFonts w:eastAsia="Times New Roman"/>
          <w:szCs w:val="24"/>
          <w:lang w:eastAsia="cs-CZ"/>
        </w:rPr>
        <w:tab/>
      </w:r>
    </w:p>
    <w:p w:rsidR="00A97614" w:rsidRPr="00A97614" w:rsidRDefault="00A97614" w:rsidP="00A97614">
      <w:pPr>
        <w:ind w:left="4678" w:hanging="4678"/>
        <w:rPr>
          <w:rFonts w:eastAsia="Times New Roman"/>
          <w:b/>
          <w:szCs w:val="24"/>
          <w:lang w:eastAsia="cs-CZ"/>
        </w:rPr>
      </w:pPr>
      <w:r w:rsidRPr="00A97614">
        <w:rPr>
          <w:rFonts w:eastAsia="Times New Roman"/>
          <w:szCs w:val="24"/>
          <w:lang w:eastAsia="cs-CZ"/>
        </w:rPr>
        <w:tab/>
      </w:r>
      <w:r w:rsidRPr="00A97614">
        <w:rPr>
          <w:rFonts w:eastAsia="Times New Roman"/>
          <w:b/>
          <w:szCs w:val="24"/>
          <w:lang w:eastAsia="cs-CZ"/>
        </w:rPr>
        <w:t xml:space="preserve">                                                      </w:t>
      </w:r>
    </w:p>
    <w:p w:rsidR="00A97614" w:rsidRPr="00A97614" w:rsidRDefault="00A97614" w:rsidP="00A97614">
      <w:pPr>
        <w:ind w:left="4248"/>
        <w:jc w:val="both"/>
      </w:pPr>
      <w:r w:rsidRPr="00A97614">
        <w:rPr>
          <w:rFonts w:eastAsia="Times New Roman"/>
          <w:szCs w:val="24"/>
          <w:lang w:eastAsia="cs-CZ"/>
        </w:rPr>
        <w:tab/>
      </w:r>
      <w:r w:rsidRPr="00A97614">
        <w:t xml:space="preserve">Vážená pani starostka, </w:t>
      </w:r>
    </w:p>
    <w:p w:rsidR="00A97614" w:rsidRPr="00A97614" w:rsidRDefault="00A97614" w:rsidP="00A97614">
      <w:pPr>
        <w:ind w:left="4248" w:firstLine="708"/>
        <w:jc w:val="both"/>
      </w:pPr>
      <w:r w:rsidRPr="00A97614">
        <w:t>Vážený pán starosta,</w:t>
      </w:r>
    </w:p>
    <w:p w:rsidR="00A97614" w:rsidRPr="00A97614" w:rsidRDefault="00A97614" w:rsidP="00A97614">
      <w:pPr>
        <w:jc w:val="both"/>
      </w:pPr>
      <w:r w:rsidRPr="00A97614">
        <w:tab/>
      </w:r>
      <w:r w:rsidRPr="00A97614">
        <w:tab/>
      </w:r>
      <w:r w:rsidRPr="00A97614">
        <w:tab/>
      </w:r>
      <w:r w:rsidRPr="00A97614">
        <w:tab/>
      </w:r>
      <w:r w:rsidRPr="00A97614">
        <w:tab/>
      </w:r>
      <w:r w:rsidRPr="00A97614">
        <w:tab/>
      </w:r>
      <w:r w:rsidRPr="00A97614">
        <w:tab/>
        <w:t>Vážený pán primátor</w:t>
      </w:r>
    </w:p>
    <w:p w:rsidR="00A97614" w:rsidRPr="00A97614" w:rsidRDefault="00A97614" w:rsidP="00A97614">
      <w:pPr>
        <w:tabs>
          <w:tab w:val="left" w:pos="5580"/>
        </w:tabs>
        <w:jc w:val="both"/>
        <w:rPr>
          <w:rFonts w:eastAsia="Times New Roman"/>
          <w:sz w:val="22"/>
          <w:szCs w:val="22"/>
          <w:lang w:eastAsia="cs-CZ"/>
        </w:rPr>
      </w:pPr>
    </w:p>
    <w:p w:rsidR="00A97614" w:rsidRPr="00A97614" w:rsidRDefault="00A97614" w:rsidP="00A97614">
      <w:pPr>
        <w:jc w:val="both"/>
        <w:rPr>
          <w:rFonts w:eastAsia="Times New Roman"/>
          <w:sz w:val="22"/>
          <w:szCs w:val="22"/>
          <w:lang w:eastAsia="cs-CZ"/>
        </w:rPr>
      </w:pPr>
    </w:p>
    <w:p w:rsidR="00A97614" w:rsidRPr="00A97614" w:rsidRDefault="00A97614" w:rsidP="00A97614">
      <w:pPr>
        <w:jc w:val="both"/>
        <w:rPr>
          <w:rFonts w:eastAsia="Times New Roman"/>
          <w:sz w:val="22"/>
          <w:szCs w:val="22"/>
          <w:lang w:eastAsia="cs-CZ"/>
        </w:rPr>
      </w:pPr>
    </w:p>
    <w:p w:rsidR="00A97614" w:rsidRPr="00274876" w:rsidRDefault="00A97614" w:rsidP="00A97614">
      <w:pPr>
        <w:jc w:val="both"/>
        <w:rPr>
          <w:sz w:val="20"/>
        </w:rPr>
      </w:pPr>
      <w:r w:rsidRPr="00274876">
        <w:rPr>
          <w:sz w:val="20"/>
        </w:rPr>
        <w:t>Váš list/ zo dňa</w:t>
      </w:r>
      <w:r w:rsidRPr="00274876">
        <w:rPr>
          <w:sz w:val="20"/>
        </w:rPr>
        <w:tab/>
      </w:r>
      <w:r w:rsidRPr="00274876">
        <w:rPr>
          <w:sz w:val="20"/>
        </w:rPr>
        <w:tab/>
        <w:t>Naše číslo</w:t>
      </w:r>
      <w:r w:rsidRPr="00274876">
        <w:rPr>
          <w:sz w:val="20"/>
        </w:rPr>
        <w:tab/>
      </w:r>
      <w:r w:rsidRPr="00274876">
        <w:rPr>
          <w:sz w:val="20"/>
        </w:rPr>
        <w:tab/>
      </w:r>
      <w:r w:rsidR="00274876">
        <w:rPr>
          <w:sz w:val="20"/>
        </w:rPr>
        <w:tab/>
      </w:r>
      <w:r w:rsidRPr="00274876">
        <w:rPr>
          <w:sz w:val="20"/>
        </w:rPr>
        <w:t>Vybavuje/linka</w:t>
      </w:r>
      <w:r w:rsidRPr="00274876">
        <w:rPr>
          <w:sz w:val="20"/>
        </w:rPr>
        <w:tab/>
      </w:r>
      <w:r w:rsidR="00274876">
        <w:rPr>
          <w:sz w:val="20"/>
        </w:rPr>
        <w:tab/>
      </w:r>
      <w:r w:rsidR="00274876">
        <w:rPr>
          <w:sz w:val="20"/>
        </w:rPr>
        <w:tab/>
      </w:r>
      <w:r w:rsidR="00E9218C" w:rsidRPr="00274876">
        <w:rPr>
          <w:sz w:val="20"/>
        </w:rPr>
        <w:t>Prešov, dňa</w:t>
      </w:r>
    </w:p>
    <w:p w:rsidR="00A97614" w:rsidRPr="00274876" w:rsidRDefault="00274876" w:rsidP="00274876">
      <w:pPr>
        <w:jc w:val="both"/>
        <w:rPr>
          <w:rFonts w:eastAsia="Times New Roman"/>
          <w:sz w:val="20"/>
          <w:lang w:eastAsia="cs-CZ"/>
        </w:rPr>
      </w:pPr>
      <w:r>
        <w:rPr>
          <w:rFonts w:eastAsia="Times New Roman"/>
          <w:sz w:val="20"/>
          <w:lang w:eastAsia="cs-CZ"/>
        </w:rPr>
        <w:tab/>
      </w:r>
      <w:r>
        <w:rPr>
          <w:rFonts w:eastAsia="Times New Roman"/>
          <w:sz w:val="20"/>
          <w:lang w:eastAsia="cs-CZ"/>
        </w:rPr>
        <w:tab/>
      </w:r>
      <w:r>
        <w:rPr>
          <w:rFonts w:eastAsia="Times New Roman"/>
          <w:sz w:val="20"/>
          <w:lang w:eastAsia="cs-CZ"/>
        </w:rPr>
        <w:tab/>
      </w:r>
      <w:r w:rsidRPr="00274876">
        <w:rPr>
          <w:rFonts w:eastAsia="Times New Roman"/>
          <w:sz w:val="20"/>
          <w:lang w:eastAsia="cs-CZ"/>
        </w:rPr>
        <w:t>PO2/OSVaR/BEZ/2022/885-20</w:t>
      </w:r>
      <w:r w:rsidR="00E9218C" w:rsidRPr="00274876">
        <w:rPr>
          <w:rFonts w:eastAsia="Times New Roman"/>
          <w:sz w:val="20"/>
          <w:lang w:eastAsia="cs-CZ"/>
        </w:rPr>
        <w:t xml:space="preserve">      </w:t>
      </w:r>
      <w:r w:rsidR="00A97614" w:rsidRPr="00274876">
        <w:rPr>
          <w:rFonts w:eastAsia="Times New Roman"/>
          <w:sz w:val="20"/>
          <w:lang w:eastAsia="cs-CZ"/>
        </w:rPr>
        <w:t>Mgr.</w:t>
      </w:r>
      <w:r w:rsidR="00E9218C" w:rsidRPr="00274876">
        <w:rPr>
          <w:rFonts w:eastAsia="Times New Roman"/>
          <w:sz w:val="20"/>
          <w:lang w:eastAsia="cs-CZ"/>
        </w:rPr>
        <w:t xml:space="preserve"> J.</w:t>
      </w:r>
      <w:r w:rsidR="00F04988">
        <w:rPr>
          <w:rFonts w:eastAsia="Times New Roman"/>
          <w:sz w:val="20"/>
          <w:lang w:eastAsia="cs-CZ"/>
        </w:rPr>
        <w:t xml:space="preserve"> </w:t>
      </w:r>
      <w:bookmarkStart w:id="0" w:name="_GoBack"/>
      <w:bookmarkEnd w:id="0"/>
      <w:r w:rsidR="00E9218C" w:rsidRPr="00274876">
        <w:rPr>
          <w:rFonts w:eastAsia="Times New Roman"/>
          <w:sz w:val="20"/>
          <w:lang w:eastAsia="cs-CZ"/>
        </w:rPr>
        <w:t>Kovalská</w:t>
      </w:r>
      <w:r w:rsidR="000B118B" w:rsidRPr="00274876">
        <w:rPr>
          <w:rFonts w:eastAsia="Times New Roman"/>
          <w:sz w:val="20"/>
          <w:lang w:eastAsia="cs-CZ"/>
        </w:rPr>
        <w:tab/>
      </w:r>
      <w:r>
        <w:rPr>
          <w:rFonts w:eastAsia="Times New Roman"/>
          <w:sz w:val="20"/>
          <w:lang w:eastAsia="cs-CZ"/>
        </w:rPr>
        <w:tab/>
      </w:r>
      <w:r>
        <w:rPr>
          <w:rFonts w:eastAsia="Times New Roman"/>
          <w:sz w:val="20"/>
          <w:lang w:eastAsia="cs-CZ"/>
        </w:rPr>
        <w:tab/>
      </w:r>
      <w:r w:rsidR="00A97614" w:rsidRPr="00274876">
        <w:rPr>
          <w:rFonts w:eastAsia="Times New Roman"/>
          <w:sz w:val="20"/>
          <w:lang w:eastAsia="cs-CZ"/>
        </w:rPr>
        <w:t>14.1</w:t>
      </w:r>
      <w:r w:rsidR="00E9218C" w:rsidRPr="00274876">
        <w:rPr>
          <w:rFonts w:eastAsia="Times New Roman"/>
          <w:sz w:val="20"/>
          <w:lang w:eastAsia="cs-CZ"/>
        </w:rPr>
        <w:t>2</w:t>
      </w:r>
      <w:r w:rsidR="00A97614" w:rsidRPr="00274876">
        <w:rPr>
          <w:rFonts w:eastAsia="Times New Roman"/>
          <w:sz w:val="20"/>
          <w:lang w:eastAsia="cs-CZ"/>
        </w:rPr>
        <w:t>.2022</w:t>
      </w:r>
    </w:p>
    <w:p w:rsidR="00A97614" w:rsidRPr="00A97614" w:rsidRDefault="00A97614" w:rsidP="00A97614">
      <w:pPr>
        <w:jc w:val="both"/>
        <w:rPr>
          <w:rFonts w:eastAsia="Times New Roman"/>
          <w:szCs w:val="24"/>
          <w:lang w:eastAsia="cs-CZ"/>
        </w:rPr>
      </w:pPr>
    </w:p>
    <w:p w:rsidR="00A97614" w:rsidRDefault="00A97614" w:rsidP="00A97614">
      <w:pPr>
        <w:jc w:val="both"/>
        <w:rPr>
          <w:rFonts w:eastAsia="Times New Roman"/>
          <w:szCs w:val="24"/>
          <w:lang w:eastAsia="cs-CZ"/>
        </w:rPr>
      </w:pPr>
      <w:r w:rsidRPr="00A97614">
        <w:rPr>
          <w:rFonts w:eastAsia="Times New Roman"/>
          <w:szCs w:val="24"/>
          <w:lang w:eastAsia="cs-CZ"/>
        </w:rPr>
        <w:t>Vec</w:t>
      </w:r>
    </w:p>
    <w:p w:rsidR="00A97614" w:rsidRPr="00091522" w:rsidRDefault="00A97614" w:rsidP="00A97614">
      <w:pPr>
        <w:pStyle w:val="VEC"/>
        <w:rPr>
          <w:b/>
          <w:u w:val="single"/>
        </w:rPr>
      </w:pPr>
      <w:r w:rsidRPr="00091522">
        <w:rPr>
          <w:b/>
          <w:u w:val="single"/>
        </w:rPr>
        <w:fldChar w:fldCharType="begin"/>
      </w:r>
      <w:r w:rsidRPr="00091522">
        <w:rPr>
          <w:b/>
          <w:u w:val="single"/>
        </w:rPr>
        <w:instrText xml:space="preserve"> DOCPROPERTY  FSC#SK</w:instrText>
      </w:r>
      <w:r>
        <w:rPr>
          <w:b/>
          <w:u w:val="single"/>
        </w:rPr>
        <w:instrText>EDITIONREG</w:instrText>
      </w:r>
      <w:r w:rsidRPr="00091522">
        <w:rPr>
          <w:b/>
          <w:u w:val="single"/>
        </w:rPr>
        <w:instrText>@</w:instrText>
      </w:r>
      <w:r>
        <w:rPr>
          <w:b/>
          <w:u w:val="single"/>
        </w:rPr>
        <w:instrText>103</w:instrText>
      </w:r>
      <w:r w:rsidRPr="00091522">
        <w:rPr>
          <w:b/>
          <w:u w:val="single"/>
        </w:rPr>
        <w:instrText>.</w:instrText>
      </w:r>
      <w:r>
        <w:rPr>
          <w:b/>
          <w:u w:val="single"/>
        </w:rPr>
        <w:instrText>510</w:instrText>
      </w:r>
      <w:r w:rsidRPr="00091522">
        <w:rPr>
          <w:b/>
          <w:u w:val="single"/>
        </w:rPr>
        <w:instrText>:</w:instrText>
      </w:r>
      <w:r>
        <w:rPr>
          <w:b/>
          <w:u w:val="single"/>
        </w:rPr>
        <w:instrText>viz</w:instrText>
      </w:r>
      <w:r w:rsidRPr="00091522">
        <w:rPr>
          <w:b/>
          <w:u w:val="single"/>
        </w:rPr>
        <w:instrText xml:space="preserve">_filesubj  \* MERGEFORMAT </w:instrText>
      </w:r>
      <w:r w:rsidRPr="00091522">
        <w:rPr>
          <w:b/>
          <w:u w:val="single"/>
        </w:rPr>
        <w:fldChar w:fldCharType="separate"/>
      </w:r>
      <w:r>
        <w:rPr>
          <w:b/>
          <w:u w:val="single"/>
        </w:rPr>
        <w:t>Inflačná pomoc II. - informácia a žiadosť o spoluprácu</w:t>
      </w:r>
      <w:r w:rsidRPr="00091522">
        <w:rPr>
          <w:b/>
          <w:u w:val="single"/>
        </w:rPr>
        <w:fldChar w:fldCharType="end"/>
      </w:r>
    </w:p>
    <w:p w:rsidR="00A97614" w:rsidRPr="00091522" w:rsidRDefault="00A97614" w:rsidP="00A97614">
      <w:pPr>
        <w:jc w:val="both"/>
        <w:rPr>
          <w:b/>
        </w:rPr>
      </w:pPr>
    </w:p>
    <w:p w:rsidR="00A97614" w:rsidRPr="00091522" w:rsidRDefault="00A97614" w:rsidP="00A97614">
      <w:pPr>
        <w:jc w:val="both"/>
      </w:pPr>
    </w:p>
    <w:p w:rsidR="00F04988" w:rsidRDefault="00A97614" w:rsidP="005755EB">
      <w:pPr>
        <w:tabs>
          <w:tab w:val="left" w:pos="6480"/>
        </w:tabs>
        <w:jc w:val="both"/>
      </w:pPr>
      <w:r>
        <w:t xml:space="preserve">Dňom 29.10.2022 nadobudlo účinnosť Nariadenie vlády SR č. 353/2022 Z. z., ktorým sa mení a dopĺňa Nariadenie vlády SR č. 103/2020 Z. z. o niektorých opatreniach v oblasti dotácií v pôsobnosti Ministerstva práce, sociálnych vecí a rodiny Slovenskej republiky v čase mimoriadnej situácie, núdzového stavu alebo výnimočného stavu vyhláseného v súvislosti </w:t>
      </w:r>
    </w:p>
    <w:p w:rsidR="00A97614" w:rsidRDefault="00A97614" w:rsidP="005755EB">
      <w:pPr>
        <w:tabs>
          <w:tab w:val="left" w:pos="6480"/>
        </w:tabs>
        <w:jc w:val="both"/>
      </w:pPr>
      <w:r>
        <w:t xml:space="preserve">s ochorením COVID-19 v znení neskorších predpisov (ďalej len „nariadenie“). </w:t>
      </w:r>
    </w:p>
    <w:p w:rsidR="00A97614" w:rsidRDefault="00A97614" w:rsidP="005755EB">
      <w:pPr>
        <w:tabs>
          <w:tab w:val="left" w:pos="6480"/>
        </w:tabs>
        <w:jc w:val="both"/>
      </w:pPr>
    </w:p>
    <w:p w:rsidR="00A97614" w:rsidRPr="00091522" w:rsidRDefault="00A97614" w:rsidP="005755EB">
      <w:pPr>
        <w:tabs>
          <w:tab w:val="left" w:pos="6480"/>
        </w:tabs>
        <w:jc w:val="both"/>
      </w:pPr>
      <w:r>
        <w:t>Cieľom novely nariadenia je finančne prispieť najzraniteľnejším skupinám osôb na pokrytie zvýšených výdavkov na bývanie, energie, stravu a pod. Nariadenie je súčasťou inflačnej pomoci a je jedným z nástrojov na zmiernenie následkov vysokej inflácie.</w:t>
      </w:r>
      <w:r>
        <w:tab/>
      </w:r>
    </w:p>
    <w:p w:rsidR="00A97614" w:rsidRDefault="00A97614" w:rsidP="005755EB">
      <w:pPr>
        <w:jc w:val="both"/>
      </w:pPr>
    </w:p>
    <w:p w:rsidR="00A97614" w:rsidRDefault="00A97614" w:rsidP="005755EB">
      <w:pPr>
        <w:jc w:val="both"/>
      </w:pPr>
      <w:r w:rsidRPr="00FB2229">
        <w:rPr>
          <w:b/>
        </w:rPr>
        <w:t>Suma jednorazovej dotácie je vo výške 100 Eur</w:t>
      </w:r>
      <w:r>
        <w:t>.</w:t>
      </w:r>
    </w:p>
    <w:p w:rsidR="005755EB" w:rsidRDefault="005755EB" w:rsidP="005755EB">
      <w:pPr>
        <w:jc w:val="both"/>
        <w:rPr>
          <w:rFonts w:eastAsia="Times New Roman"/>
          <w:color w:val="000000"/>
          <w:szCs w:val="24"/>
          <w:lang w:eastAsia="sk-SK"/>
        </w:rPr>
      </w:pPr>
    </w:p>
    <w:p w:rsidR="003E1100" w:rsidRDefault="003E1100" w:rsidP="005755EB">
      <w:pPr>
        <w:jc w:val="both"/>
        <w:rPr>
          <w:rFonts w:eastAsia="Times New Roman"/>
          <w:color w:val="000000"/>
          <w:szCs w:val="24"/>
          <w:lang w:eastAsia="sk-SK"/>
        </w:rPr>
      </w:pPr>
      <w:r w:rsidRPr="00891108">
        <w:rPr>
          <w:rFonts w:eastAsia="Times New Roman"/>
          <w:color w:val="000000"/>
          <w:szCs w:val="24"/>
          <w:lang w:eastAsia="sk-SK"/>
        </w:rPr>
        <w:t>Formou žiadost</w:t>
      </w:r>
      <w:r w:rsidR="00507867">
        <w:rPr>
          <w:rFonts w:eastAsia="Times New Roman"/>
          <w:color w:val="000000"/>
          <w:szCs w:val="24"/>
          <w:lang w:eastAsia="sk-SK"/>
        </w:rPr>
        <w:t>í</w:t>
      </w:r>
      <w:r w:rsidRPr="00891108">
        <w:rPr>
          <w:rFonts w:eastAsia="Times New Roman"/>
          <w:color w:val="000000"/>
          <w:szCs w:val="24"/>
          <w:lang w:eastAsia="sk-SK"/>
        </w:rPr>
        <w:t xml:space="preserve"> je možné požiadať o tieto jednorazové dotácie:</w:t>
      </w:r>
    </w:p>
    <w:p w:rsidR="005755EB" w:rsidRPr="00891108" w:rsidRDefault="005755EB" w:rsidP="005755EB">
      <w:pPr>
        <w:jc w:val="both"/>
        <w:rPr>
          <w:rFonts w:eastAsia="Times New Roman"/>
          <w:color w:val="000000"/>
          <w:szCs w:val="24"/>
          <w:lang w:eastAsia="sk-SK"/>
        </w:rPr>
      </w:pPr>
    </w:p>
    <w:p w:rsidR="003E1100" w:rsidRPr="004528BE" w:rsidRDefault="003E1100" w:rsidP="005755EB">
      <w:pPr>
        <w:pStyle w:val="Odsekzoznamu"/>
        <w:numPr>
          <w:ilvl w:val="0"/>
          <w:numId w:val="3"/>
        </w:numPr>
        <w:contextualSpacing/>
        <w:jc w:val="both"/>
        <w:rPr>
          <w:color w:val="000000"/>
          <w:szCs w:val="24"/>
        </w:rPr>
      </w:pPr>
      <w:r w:rsidRPr="004528BE">
        <w:rPr>
          <w:b/>
          <w:bCs/>
          <w:color w:val="000000"/>
          <w:szCs w:val="24"/>
          <w:u w:val="single"/>
        </w:rPr>
        <w:t>Jednorazová dotácia vo výške 100 eur pre nezaopatrené dieťa, na ktoré je určená vyživovacia povinnosť rozhodnutím súdu najviac vo výške 150 eur</w:t>
      </w:r>
    </w:p>
    <w:p w:rsidR="000465F1" w:rsidRDefault="000465F1" w:rsidP="005755EB">
      <w:pPr>
        <w:numPr>
          <w:ilvl w:val="0"/>
          <w:numId w:val="2"/>
        </w:numPr>
        <w:jc w:val="both"/>
      </w:pPr>
      <w:r>
        <w:t xml:space="preserve">Dotácia je určená nezaopatreným deťom, ktorým bola vykonateľným rozhodnutím súdu určená vyživovacia povinnosť nižšia ako 150 Eur. </w:t>
      </w:r>
    </w:p>
    <w:p w:rsidR="000465F1" w:rsidRDefault="000465F1" w:rsidP="005755EB">
      <w:pPr>
        <w:numPr>
          <w:ilvl w:val="0"/>
          <w:numId w:val="2"/>
        </w:numPr>
        <w:jc w:val="both"/>
      </w:pPr>
      <w:r>
        <w:t>Žiadateľom o dotáciu je fyzická osoba (rodič dieťaťa/plnoleté nezaopatrené dieťa), ktorá je prijímateľom súdom určeného výživného.</w:t>
      </w:r>
    </w:p>
    <w:p w:rsidR="000465F1" w:rsidRDefault="000465F1" w:rsidP="005755EB">
      <w:pPr>
        <w:numPr>
          <w:ilvl w:val="0"/>
          <w:numId w:val="2"/>
        </w:numPr>
        <w:jc w:val="both"/>
      </w:pPr>
      <w:r>
        <w:t xml:space="preserve">Žiadateľ je povinný k žiadosti predložiť posledné rozhodnutie súdu o určení vyživovacej povinnosti. </w:t>
      </w:r>
    </w:p>
    <w:p w:rsidR="005755EB" w:rsidRDefault="005755EB" w:rsidP="005755EB">
      <w:pPr>
        <w:numPr>
          <w:ilvl w:val="0"/>
          <w:numId w:val="2"/>
        </w:numPr>
        <w:jc w:val="both"/>
      </w:pPr>
      <w:r>
        <w:t xml:space="preserve">Rodič viacerých maloletých detí so súdom určenou vyživovacou povinnosťou podáva len jednu žiadosť za všetky svoje maloleté deti, na ktoré bola určená vyživovacia povinnosť nižšia ako 150 Eur. </w:t>
      </w:r>
    </w:p>
    <w:p w:rsidR="005755EB" w:rsidRDefault="005755EB" w:rsidP="005755EB">
      <w:pPr>
        <w:ind w:left="1080"/>
        <w:jc w:val="both"/>
      </w:pPr>
    </w:p>
    <w:p w:rsidR="000465F1" w:rsidRDefault="000465F1" w:rsidP="005755EB">
      <w:pPr>
        <w:jc w:val="both"/>
      </w:pPr>
      <w:r>
        <w:t>Úrad pri posúdení nároku na dotáciu neskúma, či si povinná osoba plní resp. neplní svoju vyživovaciu povinnosť, ani či je úradom poskytované náhradné výživné.</w:t>
      </w:r>
    </w:p>
    <w:p w:rsidR="000465F1" w:rsidRDefault="000465F1" w:rsidP="005755EB">
      <w:pPr>
        <w:jc w:val="both"/>
      </w:pPr>
    </w:p>
    <w:p w:rsidR="003E1100" w:rsidRPr="003E1100" w:rsidRDefault="003E1100" w:rsidP="005755EB">
      <w:pPr>
        <w:ind w:left="360"/>
        <w:jc w:val="both"/>
        <w:rPr>
          <w:b/>
          <w:szCs w:val="24"/>
        </w:rPr>
      </w:pPr>
      <w:r w:rsidRPr="003E1100">
        <w:rPr>
          <w:rStyle w:val="Siln"/>
          <w:b w:val="0"/>
          <w:color w:val="000000"/>
          <w:szCs w:val="24"/>
        </w:rPr>
        <w:t xml:space="preserve">  </w:t>
      </w:r>
    </w:p>
    <w:p w:rsidR="003E1100" w:rsidRPr="005755EB" w:rsidRDefault="00F04988" w:rsidP="005755EB">
      <w:pPr>
        <w:jc w:val="center"/>
        <w:rPr>
          <w:szCs w:val="24"/>
        </w:rPr>
      </w:pPr>
      <w:r>
        <w:rPr>
          <w:szCs w:val="24"/>
        </w:rPr>
        <w:t>-1</w:t>
      </w:r>
      <w:r w:rsidR="005755EB">
        <w:rPr>
          <w:szCs w:val="24"/>
        </w:rPr>
        <w:t>-</w:t>
      </w:r>
    </w:p>
    <w:p w:rsidR="005755EB" w:rsidRDefault="005755EB" w:rsidP="005755EB">
      <w:pPr>
        <w:pStyle w:val="Odsekzoznamu"/>
        <w:jc w:val="both"/>
        <w:rPr>
          <w:szCs w:val="24"/>
        </w:rPr>
      </w:pPr>
    </w:p>
    <w:p w:rsidR="005755EB" w:rsidRPr="004528BE" w:rsidRDefault="005755EB" w:rsidP="005755EB">
      <w:pPr>
        <w:pStyle w:val="Odsekzoznamu"/>
        <w:jc w:val="both"/>
        <w:rPr>
          <w:szCs w:val="24"/>
        </w:rPr>
      </w:pPr>
    </w:p>
    <w:p w:rsidR="003E1100" w:rsidRPr="004528BE" w:rsidRDefault="003E1100" w:rsidP="005755EB">
      <w:pPr>
        <w:pStyle w:val="Odsekzoznamu"/>
        <w:numPr>
          <w:ilvl w:val="0"/>
          <w:numId w:val="3"/>
        </w:numPr>
        <w:contextualSpacing/>
        <w:jc w:val="both"/>
        <w:rPr>
          <w:color w:val="000000"/>
          <w:szCs w:val="24"/>
        </w:rPr>
      </w:pPr>
      <w:r w:rsidRPr="004528BE">
        <w:rPr>
          <w:b/>
          <w:bCs/>
          <w:color w:val="000000"/>
          <w:szCs w:val="24"/>
          <w:u w:val="single"/>
        </w:rPr>
        <w:t>Jednorazová dotácia vo výške 100 eur pre plnoletú fyzickú osobu, ktorej v období od 30. apríla 2020 do 31. októbra 2022 z dôvodu nadobudnutia plnoletosti zaniklo zverenie do starostlivosti nahrádzajúcej starostlivosť rodičov</w:t>
      </w:r>
    </w:p>
    <w:p w:rsidR="005755EB" w:rsidRDefault="005755EB" w:rsidP="005755EB">
      <w:pPr>
        <w:ind w:firstLine="360"/>
        <w:contextualSpacing/>
        <w:rPr>
          <w:rFonts w:eastAsia="Times New Roman"/>
          <w:bCs/>
          <w:color w:val="000000"/>
          <w:szCs w:val="24"/>
          <w:lang w:eastAsia="sk-SK"/>
        </w:rPr>
      </w:pPr>
    </w:p>
    <w:p w:rsidR="003E1100" w:rsidRPr="005755EB" w:rsidRDefault="003E1100" w:rsidP="005755EB">
      <w:pPr>
        <w:pStyle w:val="Odsekzoznamu"/>
        <w:numPr>
          <w:ilvl w:val="0"/>
          <w:numId w:val="7"/>
        </w:numPr>
        <w:contextualSpacing/>
        <w:rPr>
          <w:color w:val="000000"/>
          <w:szCs w:val="24"/>
        </w:rPr>
      </w:pPr>
      <w:r w:rsidRPr="005755EB">
        <w:rPr>
          <w:bCs/>
          <w:color w:val="000000"/>
          <w:szCs w:val="24"/>
        </w:rPr>
        <w:t>Žiadateľom o dotáciu je plnoletá fyzická osoba, ktorá bola rozhodnutím súdu zverená do</w:t>
      </w:r>
      <w:r w:rsidRPr="005755EB">
        <w:rPr>
          <w:color w:val="000000"/>
          <w:szCs w:val="24"/>
        </w:rPr>
        <w:t>:</w:t>
      </w:r>
    </w:p>
    <w:p w:rsidR="003E1100" w:rsidRPr="00552EAD" w:rsidRDefault="003E1100" w:rsidP="005755EB">
      <w:pPr>
        <w:numPr>
          <w:ilvl w:val="0"/>
          <w:numId w:val="4"/>
        </w:numPr>
        <w:contextualSpacing/>
        <w:rPr>
          <w:rFonts w:eastAsia="Times New Roman"/>
          <w:color w:val="000000"/>
          <w:szCs w:val="24"/>
          <w:lang w:eastAsia="sk-SK"/>
        </w:rPr>
      </w:pPr>
      <w:r w:rsidRPr="004528BE">
        <w:rPr>
          <w:rFonts w:eastAsia="Times New Roman"/>
          <w:color w:val="000000"/>
          <w:szCs w:val="24"/>
          <w:lang w:eastAsia="sk-SK"/>
        </w:rPr>
        <w:t>o</w:t>
      </w:r>
      <w:r w:rsidRPr="00552EAD">
        <w:rPr>
          <w:rFonts w:eastAsia="Times New Roman"/>
          <w:color w:val="000000"/>
          <w:szCs w:val="24"/>
          <w:lang w:eastAsia="sk-SK"/>
        </w:rPr>
        <w:t>sobnej starostlivosti inej fyzickej osoby než rodiča alebo</w:t>
      </w:r>
    </w:p>
    <w:p w:rsidR="003E1100" w:rsidRPr="00552EAD" w:rsidRDefault="003E1100" w:rsidP="005755EB">
      <w:pPr>
        <w:numPr>
          <w:ilvl w:val="0"/>
          <w:numId w:val="4"/>
        </w:numPr>
        <w:rPr>
          <w:rFonts w:eastAsia="Times New Roman"/>
          <w:color w:val="000000"/>
          <w:szCs w:val="24"/>
          <w:lang w:eastAsia="sk-SK"/>
        </w:rPr>
      </w:pPr>
      <w:r w:rsidRPr="00552EAD">
        <w:rPr>
          <w:rFonts w:eastAsia="Times New Roman"/>
          <w:color w:val="000000"/>
          <w:szCs w:val="24"/>
          <w:lang w:eastAsia="sk-SK"/>
        </w:rPr>
        <w:t>pestúnskej starostlivosti alebo</w:t>
      </w:r>
    </w:p>
    <w:p w:rsidR="003E1100" w:rsidRPr="00552EAD" w:rsidRDefault="003E1100" w:rsidP="005755EB">
      <w:pPr>
        <w:numPr>
          <w:ilvl w:val="0"/>
          <w:numId w:val="4"/>
        </w:numPr>
        <w:rPr>
          <w:rFonts w:eastAsia="Times New Roman"/>
          <w:color w:val="000000"/>
          <w:szCs w:val="24"/>
          <w:lang w:eastAsia="sk-SK"/>
        </w:rPr>
      </w:pPr>
      <w:r w:rsidRPr="00552EAD">
        <w:rPr>
          <w:rFonts w:eastAsia="Times New Roman"/>
          <w:color w:val="000000"/>
          <w:szCs w:val="24"/>
          <w:lang w:eastAsia="sk-SK"/>
        </w:rPr>
        <w:t>poručníctva, ak sa poručník osobne staral o dieťa alebo</w:t>
      </w:r>
    </w:p>
    <w:p w:rsidR="003E1100" w:rsidRDefault="003E1100" w:rsidP="005755EB">
      <w:pPr>
        <w:numPr>
          <w:ilvl w:val="0"/>
          <w:numId w:val="4"/>
        </w:numPr>
        <w:rPr>
          <w:rFonts w:eastAsia="Times New Roman"/>
          <w:color w:val="000000"/>
          <w:szCs w:val="24"/>
          <w:lang w:eastAsia="sk-SK"/>
        </w:rPr>
      </w:pPr>
      <w:r w:rsidRPr="00552EAD">
        <w:rPr>
          <w:rFonts w:eastAsia="Times New Roman"/>
          <w:color w:val="000000"/>
          <w:szCs w:val="24"/>
          <w:lang w:eastAsia="sk-SK"/>
        </w:rPr>
        <w:t>starostlivosti rozhodnutím súdu nariadením neodkladného opatrenia, ak súd konal o zverení do náhradnej starostlivosti podľa bodu 1. – 3.</w:t>
      </w:r>
      <w:r w:rsidR="000465F1">
        <w:rPr>
          <w:rFonts w:eastAsia="Times New Roman"/>
          <w:color w:val="000000"/>
          <w:szCs w:val="24"/>
          <w:lang w:eastAsia="sk-SK"/>
        </w:rPr>
        <w:t xml:space="preserve"> a tejto fyzickej osobe v období od 30.apríla 2020 do 31.októbra 2022 z dôvodu nadobudnutia plnoletosti zaniklo zverenie do náhradnej starostlivosti</w:t>
      </w:r>
      <w:r w:rsidR="005755EB">
        <w:rPr>
          <w:rFonts w:eastAsia="Times New Roman"/>
          <w:color w:val="000000"/>
          <w:szCs w:val="24"/>
          <w:lang w:eastAsia="sk-SK"/>
        </w:rPr>
        <w:t>.</w:t>
      </w:r>
    </w:p>
    <w:p w:rsidR="005755EB" w:rsidRPr="004528BE" w:rsidRDefault="005755EB" w:rsidP="005755EB">
      <w:pPr>
        <w:ind w:left="720"/>
        <w:rPr>
          <w:rFonts w:eastAsia="Times New Roman"/>
          <w:color w:val="000000"/>
          <w:szCs w:val="24"/>
          <w:lang w:eastAsia="sk-SK"/>
        </w:rPr>
      </w:pPr>
    </w:p>
    <w:p w:rsidR="005755EB" w:rsidRPr="00E9218C" w:rsidRDefault="003E1100" w:rsidP="005755EB">
      <w:pPr>
        <w:pStyle w:val="Odsekzoznamu"/>
        <w:numPr>
          <w:ilvl w:val="0"/>
          <w:numId w:val="3"/>
        </w:numPr>
        <w:contextualSpacing/>
        <w:jc w:val="both"/>
        <w:rPr>
          <w:color w:val="000000"/>
          <w:szCs w:val="24"/>
          <w:u w:val="single"/>
        </w:rPr>
      </w:pPr>
      <w:r w:rsidRPr="00251D15">
        <w:rPr>
          <w:b/>
          <w:bCs/>
          <w:color w:val="000000"/>
          <w:szCs w:val="24"/>
          <w:u w:val="single"/>
        </w:rPr>
        <w:t xml:space="preserve">Jednorazová dotácia vo výške 100 Eur pre plnoletú fyzickú osobu, pre ktorú sa v období od 30. apríla 2020 do 31. októbra 2022 vykonávali opatrenia sociálnoprávnej ochrany detí a sociálnej kurately v centre pre deti a rodiny na </w:t>
      </w:r>
      <w:r w:rsidRPr="00F04988">
        <w:rPr>
          <w:b/>
          <w:bCs/>
          <w:color w:val="000000"/>
          <w:szCs w:val="24"/>
          <w:u w:val="single"/>
        </w:rPr>
        <w:t>základe rozhodnutia súdu pobytovou formou, s výnimkou výkonu</w:t>
      </w:r>
      <w:r w:rsidRPr="00E9218C">
        <w:rPr>
          <w:b/>
          <w:bCs/>
          <w:color w:val="000000"/>
          <w:szCs w:val="24"/>
          <w:u w:val="single"/>
        </w:rPr>
        <w:t xml:space="preserve"> resocializačného programu</w:t>
      </w:r>
    </w:p>
    <w:p w:rsidR="005755EB" w:rsidRPr="005755EB" w:rsidRDefault="003E1100" w:rsidP="005755EB">
      <w:pPr>
        <w:pStyle w:val="Odsekzoznamu"/>
        <w:numPr>
          <w:ilvl w:val="0"/>
          <w:numId w:val="2"/>
        </w:numPr>
        <w:contextualSpacing/>
        <w:jc w:val="both"/>
      </w:pPr>
      <w:r w:rsidRPr="005755EB">
        <w:rPr>
          <w:bCs/>
          <w:color w:val="000000"/>
          <w:szCs w:val="24"/>
        </w:rPr>
        <w:t>Žiadateľom o dotáciu je plnoletá fyzická osoba, ktorej bola rozhodnutím súdu pobytovou formou poskytovaná starostlivosť v centre pre deti a rodiny, a táto jej bola ukončená </w:t>
      </w:r>
      <w:r w:rsidRPr="005755EB">
        <w:rPr>
          <w:color w:val="000000"/>
          <w:szCs w:val="24"/>
        </w:rPr>
        <w:t>dovŕšením plnoletosti (t.j. plnoletá osoba opustila centrum dovŕšením 18</w:t>
      </w:r>
      <w:r w:rsidR="00E9218C">
        <w:rPr>
          <w:color w:val="000000"/>
          <w:szCs w:val="24"/>
        </w:rPr>
        <w:t>-teho</w:t>
      </w:r>
      <w:r w:rsidRPr="005755EB">
        <w:rPr>
          <w:color w:val="000000"/>
          <w:szCs w:val="24"/>
        </w:rPr>
        <w:t xml:space="preserve"> roku veku) alebo sa  v posudzovanom období ukončilo poskytovanie starostlivosti na základe dohody medzi mladým dospelým a centrom.</w:t>
      </w:r>
    </w:p>
    <w:p w:rsidR="00A97614" w:rsidRDefault="00A97614" w:rsidP="005755EB">
      <w:pPr>
        <w:pStyle w:val="Odsekzoznamu"/>
        <w:numPr>
          <w:ilvl w:val="0"/>
          <w:numId w:val="2"/>
        </w:numPr>
        <w:contextualSpacing/>
        <w:jc w:val="both"/>
      </w:pPr>
      <w:r>
        <w:t xml:space="preserve">Žiadateľ nie je povinný k žiadosti predkladať podporné doklady. </w:t>
      </w:r>
    </w:p>
    <w:p w:rsidR="00A97614" w:rsidRDefault="00A97614" w:rsidP="005755EB">
      <w:pPr>
        <w:pStyle w:val="Odsekzoznamu"/>
      </w:pPr>
    </w:p>
    <w:p w:rsidR="00A97614" w:rsidRPr="00FB2229" w:rsidRDefault="00A97614" w:rsidP="005755EB">
      <w:pPr>
        <w:jc w:val="both"/>
        <w:rPr>
          <w:b/>
          <w:i/>
          <w:u w:val="single"/>
        </w:rPr>
      </w:pPr>
      <w:r w:rsidRPr="00FB2229">
        <w:rPr>
          <w:b/>
          <w:i/>
          <w:u w:val="single"/>
        </w:rPr>
        <w:t xml:space="preserve">Poskytovanie dotácií na podporu humanitárnej pomoci </w:t>
      </w:r>
    </w:p>
    <w:p w:rsidR="00A97614" w:rsidRPr="00FB2229" w:rsidRDefault="00A97614" w:rsidP="005755EB">
      <w:pPr>
        <w:jc w:val="both"/>
        <w:rPr>
          <w:b/>
        </w:rPr>
      </w:pPr>
    </w:p>
    <w:p w:rsidR="00A97614" w:rsidRDefault="00A97614" w:rsidP="005755EB">
      <w:pPr>
        <w:numPr>
          <w:ilvl w:val="0"/>
          <w:numId w:val="2"/>
        </w:numPr>
        <w:jc w:val="both"/>
      </w:pPr>
      <w:r>
        <w:t>Žiadateľom o dotáciu na podporu humanitárnej pomoci je fyzická osoba s trvalým alebo prechodným pobytom v SR.</w:t>
      </w:r>
    </w:p>
    <w:p w:rsidR="00A97614" w:rsidRDefault="00A97614" w:rsidP="005755EB">
      <w:pPr>
        <w:numPr>
          <w:ilvl w:val="0"/>
          <w:numId w:val="2"/>
        </w:numPr>
        <w:jc w:val="both"/>
      </w:pPr>
      <w:r w:rsidRPr="003E1100">
        <w:rPr>
          <w:b/>
          <w:color w:val="FF0000"/>
        </w:rPr>
        <w:t>Úrad poskytne dotáciu na základe žiadosti podanej do 31.12.2022</w:t>
      </w:r>
      <w:r>
        <w:t xml:space="preserve">  osobne alebo poštou na príslušný úrad práce, sociálnych vecí a rodiny podľa trvalého/prechodného pobytu; elektronickými prostriedkami (e-mailom podpísanú vo forme scanu) - bez kvalifikovaného elektronického podpisu, doplnenie žiadosti v listinnej podobe sa nevyžaduje. </w:t>
      </w:r>
    </w:p>
    <w:p w:rsidR="00A97614" w:rsidRDefault="00A97614" w:rsidP="005755EB">
      <w:pPr>
        <w:pStyle w:val="Odsekzoznamu"/>
        <w:numPr>
          <w:ilvl w:val="0"/>
          <w:numId w:val="2"/>
        </w:numPr>
        <w:jc w:val="both"/>
      </w:pPr>
      <w:r w:rsidRPr="005755EB">
        <w:rPr>
          <w:b/>
          <w:color w:val="FF0000"/>
        </w:rPr>
        <w:t>Na žiadosti podané po 31.12.2022 sa nebude prihliadať</w:t>
      </w:r>
      <w:r>
        <w:t xml:space="preserve">. </w:t>
      </w:r>
    </w:p>
    <w:p w:rsidR="00A97614" w:rsidRDefault="00A97614" w:rsidP="005755EB">
      <w:pPr>
        <w:jc w:val="both"/>
      </w:pPr>
    </w:p>
    <w:p w:rsidR="00A97614" w:rsidRDefault="00A97614" w:rsidP="005755EB">
      <w:pPr>
        <w:jc w:val="both"/>
      </w:pPr>
      <w:r>
        <w:t>Príslušný úrad po posúdení žiadosti na dotáciu a splnení podmienok vystaví Oznámenie o schválení jednorazovej dotácie na podporu humanitárnej pomoci pre fyzickú osobu</w:t>
      </w:r>
      <w:r w:rsidR="005755EB">
        <w:t xml:space="preserve">. </w:t>
      </w:r>
      <w:r w:rsidR="005755EB">
        <w:br/>
      </w:r>
      <w:r>
        <w:t>V prípade neúplnej žiadosti o dotáciu (neuvedenie požadovaných údajov a skutočností), úrad o predloženej žiadosti nebude ďalej konať a bude informovať žiadateľa o neschválení jednorazovej dotácie na podporu humani</w:t>
      </w:r>
      <w:r w:rsidR="00F04988">
        <w:t>tárnej pomoci pre fyzickú osobu.</w:t>
      </w:r>
    </w:p>
    <w:p w:rsidR="00A97614" w:rsidRDefault="00A97614" w:rsidP="005755EB">
      <w:pPr>
        <w:jc w:val="both"/>
      </w:pPr>
    </w:p>
    <w:p w:rsidR="005755EB" w:rsidRDefault="005755EB" w:rsidP="005755EB">
      <w:pPr>
        <w:jc w:val="both"/>
        <w:rPr>
          <w:b/>
        </w:rPr>
      </w:pPr>
    </w:p>
    <w:p w:rsidR="005755EB" w:rsidRDefault="005755EB" w:rsidP="005755EB">
      <w:pPr>
        <w:jc w:val="both"/>
        <w:rPr>
          <w:b/>
        </w:rPr>
      </w:pPr>
    </w:p>
    <w:p w:rsidR="005755EB" w:rsidRDefault="005755EB" w:rsidP="005755EB">
      <w:pPr>
        <w:jc w:val="both"/>
        <w:rPr>
          <w:b/>
        </w:rPr>
      </w:pPr>
    </w:p>
    <w:p w:rsidR="005755EB" w:rsidRDefault="005755EB" w:rsidP="005755EB">
      <w:pPr>
        <w:jc w:val="both"/>
        <w:rPr>
          <w:b/>
        </w:rPr>
      </w:pPr>
    </w:p>
    <w:p w:rsidR="005755EB" w:rsidRPr="005755EB" w:rsidRDefault="00F04988" w:rsidP="005755EB">
      <w:pPr>
        <w:jc w:val="center"/>
      </w:pPr>
      <w:r>
        <w:t>-2</w:t>
      </w:r>
      <w:r w:rsidR="005755EB" w:rsidRPr="005755EB">
        <w:t>-</w:t>
      </w:r>
    </w:p>
    <w:p w:rsidR="005755EB" w:rsidRDefault="005755EB" w:rsidP="005755EB">
      <w:pPr>
        <w:jc w:val="both"/>
        <w:rPr>
          <w:b/>
        </w:rPr>
      </w:pPr>
    </w:p>
    <w:p w:rsidR="005755EB" w:rsidRDefault="005755EB" w:rsidP="005755EB">
      <w:pPr>
        <w:jc w:val="both"/>
        <w:rPr>
          <w:b/>
        </w:rPr>
      </w:pPr>
    </w:p>
    <w:p w:rsidR="00A97614" w:rsidRPr="00413886" w:rsidRDefault="00A97614" w:rsidP="005755EB">
      <w:pPr>
        <w:jc w:val="both"/>
        <w:rPr>
          <w:b/>
        </w:rPr>
      </w:pPr>
      <w:r w:rsidRPr="00413886">
        <w:rPr>
          <w:b/>
        </w:rPr>
        <w:t xml:space="preserve">Vzhľadom na uvedené vás žiadame o spoluprácu pri poskytovaní informácií ohľadom inflačnej pomoci. </w:t>
      </w:r>
    </w:p>
    <w:p w:rsidR="00A97614" w:rsidRDefault="00A97614" w:rsidP="005755EB">
      <w:pPr>
        <w:jc w:val="both"/>
      </w:pPr>
    </w:p>
    <w:p w:rsidR="000B118B" w:rsidRDefault="000B118B" w:rsidP="000B118B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ÚPSVR </w:t>
      </w:r>
      <w:r w:rsidR="00E9218C">
        <w:rPr>
          <w:color w:val="000000"/>
          <w:szCs w:val="24"/>
        </w:rPr>
        <w:t>Prešov</w:t>
      </w:r>
      <w:r>
        <w:rPr>
          <w:color w:val="000000"/>
          <w:szCs w:val="24"/>
        </w:rPr>
        <w:t xml:space="preserve"> Vám v prílohe zasiela leták s </w:t>
      </w:r>
      <w:r w:rsidR="000E13BF">
        <w:rPr>
          <w:color w:val="000000"/>
          <w:szCs w:val="24"/>
        </w:rPr>
        <w:t xml:space="preserve">informáciami o inflačnej pomoci, </w:t>
      </w:r>
      <w:r>
        <w:rPr>
          <w:color w:val="000000"/>
          <w:szCs w:val="24"/>
        </w:rPr>
        <w:t>zároveň si Vás  dovoľuje  požiadať o zverejnenie predmetného letáku a informovanie občanov prostredníctvom Vám dostupných informačných (komunikačných) kanálov (webové stránky obce, mesta, sociálne siete, atď.)</w:t>
      </w:r>
    </w:p>
    <w:p w:rsidR="005755EB" w:rsidRDefault="005755EB" w:rsidP="005755EB">
      <w:pPr>
        <w:jc w:val="both"/>
      </w:pPr>
    </w:p>
    <w:p w:rsidR="00E9218C" w:rsidRDefault="00A97614" w:rsidP="005755EB">
      <w:pPr>
        <w:ind w:firstLine="708"/>
        <w:jc w:val="both"/>
      </w:pPr>
      <w:r>
        <w:t>Ďakujeme za spoluprácu</w:t>
      </w:r>
      <w:r w:rsidR="00E9218C">
        <w:t>.</w:t>
      </w:r>
    </w:p>
    <w:p w:rsidR="00E9218C" w:rsidRDefault="00E9218C" w:rsidP="005755EB">
      <w:pPr>
        <w:ind w:firstLine="708"/>
        <w:jc w:val="both"/>
      </w:pPr>
    </w:p>
    <w:p w:rsidR="00A97614" w:rsidRDefault="00E9218C" w:rsidP="005755EB">
      <w:pPr>
        <w:ind w:firstLine="708"/>
        <w:jc w:val="both"/>
      </w:pPr>
      <w:r>
        <w:t>S</w:t>
      </w:r>
      <w:r w:rsidR="005755EB">
        <w:t> pozdravom</w:t>
      </w:r>
    </w:p>
    <w:p w:rsidR="005755EB" w:rsidRDefault="005755EB" w:rsidP="005755EB">
      <w:pPr>
        <w:jc w:val="both"/>
      </w:pPr>
    </w:p>
    <w:p w:rsidR="005755EB" w:rsidRDefault="005755EB" w:rsidP="005755EB">
      <w:pPr>
        <w:jc w:val="both"/>
      </w:pPr>
    </w:p>
    <w:p w:rsidR="005755EB" w:rsidRDefault="005755EB" w:rsidP="005755EB">
      <w:pPr>
        <w:jc w:val="both"/>
      </w:pPr>
    </w:p>
    <w:p w:rsidR="00A97614" w:rsidRPr="00A97614" w:rsidRDefault="00A97614" w:rsidP="00A97614">
      <w:pPr>
        <w:jc w:val="both"/>
        <w:rPr>
          <w:rFonts w:eastAsia="Times New Roman"/>
          <w:szCs w:val="24"/>
          <w:lang w:eastAsia="cs-CZ"/>
        </w:rPr>
      </w:pPr>
    </w:p>
    <w:p w:rsidR="00A97614" w:rsidRPr="00A97614" w:rsidRDefault="00E9218C" w:rsidP="00A97614">
      <w:pPr>
        <w:ind w:left="4248" w:firstLine="708"/>
        <w:jc w:val="both"/>
      </w:pPr>
      <w:r>
        <w:t xml:space="preserve">        Mgr. Matúš Fedor</w:t>
      </w:r>
    </w:p>
    <w:p w:rsidR="00A97614" w:rsidRPr="00A97614" w:rsidRDefault="00A97614" w:rsidP="00A97614">
      <w:pPr>
        <w:jc w:val="both"/>
      </w:pPr>
      <w:r w:rsidRPr="00A97614">
        <w:tab/>
      </w:r>
      <w:r w:rsidRPr="00A97614">
        <w:tab/>
      </w:r>
      <w:r w:rsidRPr="00A97614">
        <w:tab/>
      </w:r>
      <w:r w:rsidRPr="00A97614">
        <w:tab/>
      </w:r>
      <w:r w:rsidRPr="00A97614">
        <w:tab/>
      </w:r>
      <w:r w:rsidRPr="00A97614">
        <w:tab/>
      </w:r>
      <w:r w:rsidRPr="00A97614">
        <w:tab/>
        <w:t xml:space="preserve">          </w:t>
      </w:r>
      <w:r w:rsidR="00E9218C">
        <w:t xml:space="preserve">  </w:t>
      </w:r>
      <w:r w:rsidRPr="00A97614">
        <w:t>riaditeľ úradu</w:t>
      </w:r>
    </w:p>
    <w:p w:rsidR="00A97614" w:rsidRPr="00A97614" w:rsidRDefault="00A97614" w:rsidP="00A97614">
      <w:pPr>
        <w:jc w:val="both"/>
        <w:rPr>
          <w:szCs w:val="24"/>
        </w:rPr>
      </w:pPr>
      <w:r w:rsidRPr="00A97614">
        <w:tab/>
      </w:r>
      <w:r w:rsidRPr="00A97614">
        <w:tab/>
      </w:r>
      <w:r w:rsidRPr="00A97614">
        <w:tab/>
      </w:r>
      <w:r w:rsidRPr="00A97614">
        <w:tab/>
      </w:r>
      <w:r w:rsidRPr="00A97614">
        <w:tab/>
      </w:r>
      <w:r w:rsidRPr="00A97614">
        <w:tab/>
        <w:t xml:space="preserve">          </w:t>
      </w:r>
      <w:r w:rsidRPr="00A97614">
        <w:rPr>
          <w:sz w:val="20"/>
        </w:rPr>
        <w:t xml:space="preserve"> </w:t>
      </w:r>
    </w:p>
    <w:p w:rsidR="00A97614" w:rsidRPr="00A97614" w:rsidRDefault="00A97614" w:rsidP="00A97614">
      <w:pPr>
        <w:tabs>
          <w:tab w:val="left" w:pos="960"/>
        </w:tabs>
        <w:rPr>
          <w:szCs w:val="24"/>
        </w:rPr>
      </w:pPr>
    </w:p>
    <w:p w:rsidR="00A97614" w:rsidRPr="00A97614" w:rsidRDefault="00A97614" w:rsidP="00A97614">
      <w:pPr>
        <w:tabs>
          <w:tab w:val="left" w:pos="960"/>
        </w:tabs>
        <w:rPr>
          <w:szCs w:val="24"/>
        </w:rPr>
      </w:pPr>
    </w:p>
    <w:p w:rsidR="00A97614" w:rsidRPr="00A97614" w:rsidRDefault="00A97614" w:rsidP="00A97614">
      <w:pPr>
        <w:tabs>
          <w:tab w:val="left" w:pos="960"/>
        </w:tabs>
        <w:rPr>
          <w:szCs w:val="24"/>
        </w:rPr>
      </w:pPr>
      <w:r w:rsidRPr="00A97614">
        <w:rPr>
          <w:szCs w:val="24"/>
        </w:rPr>
        <w:t>Prílohy: leták</w:t>
      </w:r>
      <w:r w:rsidRPr="00A97614">
        <w:rPr>
          <w:szCs w:val="24"/>
        </w:rPr>
        <w:tab/>
      </w:r>
      <w:r w:rsidRPr="00A97614">
        <w:rPr>
          <w:szCs w:val="24"/>
        </w:rPr>
        <w:tab/>
      </w:r>
      <w:r w:rsidRPr="00A97614">
        <w:rPr>
          <w:szCs w:val="24"/>
        </w:rPr>
        <w:tab/>
      </w:r>
    </w:p>
    <w:p w:rsidR="00A97614" w:rsidRPr="00A97614" w:rsidRDefault="00A97614" w:rsidP="00A97614">
      <w:pPr>
        <w:tabs>
          <w:tab w:val="left" w:pos="960"/>
        </w:tabs>
        <w:rPr>
          <w:szCs w:val="24"/>
        </w:rPr>
      </w:pPr>
    </w:p>
    <w:p w:rsidR="00A97614" w:rsidRDefault="00A97614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5755EB" w:rsidRPr="00A97614" w:rsidRDefault="005755EB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A97614" w:rsidRPr="00A97614" w:rsidRDefault="00A97614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A97614" w:rsidRPr="00A97614" w:rsidRDefault="00A97614" w:rsidP="00A97614">
      <w:pPr>
        <w:pBdr>
          <w:bottom w:val="single" w:sz="12" w:space="1" w:color="auto"/>
        </w:pBdr>
        <w:tabs>
          <w:tab w:val="left" w:pos="960"/>
        </w:tabs>
        <w:rPr>
          <w:szCs w:val="24"/>
        </w:rPr>
      </w:pPr>
    </w:p>
    <w:p w:rsidR="00A97614" w:rsidRPr="00A97614" w:rsidRDefault="00A97614" w:rsidP="00A97614">
      <w:pPr>
        <w:jc w:val="both"/>
        <w:rPr>
          <w:sz w:val="18"/>
          <w:szCs w:val="18"/>
        </w:rPr>
      </w:pPr>
      <w:r w:rsidRPr="00A97614">
        <w:rPr>
          <w:sz w:val="18"/>
          <w:szCs w:val="18"/>
        </w:rPr>
        <w:t>Telefón</w:t>
      </w:r>
      <w:r w:rsidRPr="00A97614">
        <w:rPr>
          <w:sz w:val="18"/>
          <w:szCs w:val="18"/>
        </w:rPr>
        <w:tab/>
      </w:r>
      <w:r w:rsidRPr="00A97614">
        <w:rPr>
          <w:sz w:val="18"/>
          <w:szCs w:val="18"/>
        </w:rPr>
        <w:tab/>
      </w:r>
      <w:r w:rsidRPr="00A97614">
        <w:rPr>
          <w:sz w:val="18"/>
          <w:szCs w:val="18"/>
        </w:rPr>
        <w:tab/>
        <w:t>IČO</w:t>
      </w:r>
      <w:r w:rsidRPr="00A97614">
        <w:rPr>
          <w:sz w:val="18"/>
          <w:szCs w:val="18"/>
        </w:rPr>
        <w:tab/>
      </w:r>
      <w:r w:rsidRPr="00A97614">
        <w:rPr>
          <w:sz w:val="18"/>
          <w:szCs w:val="18"/>
        </w:rPr>
        <w:tab/>
        <w:t>Internet</w:t>
      </w:r>
      <w:r w:rsidRPr="00A97614">
        <w:rPr>
          <w:sz w:val="18"/>
          <w:szCs w:val="18"/>
        </w:rPr>
        <w:tab/>
      </w:r>
      <w:r w:rsidRPr="00A97614">
        <w:rPr>
          <w:sz w:val="18"/>
          <w:szCs w:val="18"/>
        </w:rPr>
        <w:tab/>
      </w:r>
      <w:r w:rsidRPr="00A97614">
        <w:rPr>
          <w:sz w:val="18"/>
          <w:szCs w:val="18"/>
        </w:rPr>
        <w:tab/>
        <w:t>E-mail</w:t>
      </w:r>
    </w:p>
    <w:p w:rsidR="00A97614" w:rsidRPr="00A97614" w:rsidRDefault="00A97614" w:rsidP="00A97614">
      <w:pPr>
        <w:jc w:val="both"/>
        <w:rPr>
          <w:rFonts w:eastAsia="Times New Roman"/>
          <w:i/>
          <w:szCs w:val="24"/>
          <w:lang w:eastAsia="sk-SK"/>
        </w:rPr>
      </w:pPr>
      <w:r w:rsidRPr="00A97614">
        <w:rPr>
          <w:sz w:val="18"/>
          <w:szCs w:val="18"/>
        </w:rPr>
        <w:t>+421</w:t>
      </w:r>
      <w:r w:rsidR="00E9218C">
        <w:rPr>
          <w:sz w:val="18"/>
          <w:szCs w:val="18"/>
        </w:rPr>
        <w:t xml:space="preserve"> 51 </w:t>
      </w:r>
      <w:r w:rsidRPr="00A97614">
        <w:rPr>
          <w:sz w:val="18"/>
          <w:szCs w:val="18"/>
        </w:rPr>
        <w:t>244</w:t>
      </w:r>
      <w:r w:rsidR="00E9218C">
        <w:rPr>
          <w:sz w:val="18"/>
          <w:szCs w:val="18"/>
        </w:rPr>
        <w:t xml:space="preserve">1 </w:t>
      </w:r>
      <w:r w:rsidRPr="00A97614">
        <w:rPr>
          <w:sz w:val="18"/>
          <w:szCs w:val="18"/>
        </w:rPr>
        <w:t>500</w:t>
      </w:r>
      <w:r w:rsidRPr="00A97614">
        <w:rPr>
          <w:sz w:val="18"/>
          <w:szCs w:val="18"/>
        </w:rPr>
        <w:tab/>
      </w:r>
      <w:r w:rsidRPr="00A97614">
        <w:rPr>
          <w:sz w:val="18"/>
          <w:szCs w:val="18"/>
        </w:rPr>
        <w:tab/>
        <w:t>30794536</w:t>
      </w:r>
      <w:r w:rsidRPr="00A97614">
        <w:rPr>
          <w:sz w:val="18"/>
          <w:szCs w:val="18"/>
        </w:rPr>
        <w:tab/>
      </w:r>
      <w:hyperlink r:id="rId9" w:history="1">
        <w:r w:rsidR="00E9218C" w:rsidRPr="002A6EA8">
          <w:rPr>
            <w:rStyle w:val="Hypertextovprepojenie"/>
            <w:sz w:val="18"/>
            <w:szCs w:val="18"/>
          </w:rPr>
          <w:t>www.upsvar.sk/po</w:t>
        </w:r>
      </w:hyperlink>
      <w:r w:rsidRPr="00A97614">
        <w:rPr>
          <w:sz w:val="18"/>
          <w:szCs w:val="18"/>
        </w:rPr>
        <w:tab/>
        <w:t xml:space="preserve">              </w:t>
      </w:r>
      <w:r w:rsidRPr="00A97614">
        <w:rPr>
          <w:sz w:val="18"/>
          <w:szCs w:val="18"/>
        </w:rPr>
        <w:tab/>
      </w:r>
      <w:hyperlink r:id="rId10" w:history="1">
        <w:r w:rsidR="00E9218C" w:rsidRPr="00E9218C">
          <w:rPr>
            <w:rStyle w:val="Hypertextovprepojenie"/>
            <w:sz w:val="18"/>
            <w:szCs w:val="18"/>
          </w:rPr>
          <w:t>jarmila.kovalska@</w:t>
        </w:r>
      </w:hyperlink>
      <w:r w:rsidR="00E9218C" w:rsidRPr="00E9218C">
        <w:rPr>
          <w:color w:val="0000FF"/>
          <w:sz w:val="18"/>
          <w:szCs w:val="18"/>
          <w:u w:val="single"/>
        </w:rPr>
        <w:t>upsvr.gov.sk</w:t>
      </w:r>
    </w:p>
    <w:p w:rsidR="00A97614" w:rsidRPr="00A97614" w:rsidRDefault="00A97614" w:rsidP="00A97614">
      <w:pPr>
        <w:tabs>
          <w:tab w:val="left" w:pos="960"/>
        </w:tabs>
        <w:rPr>
          <w:szCs w:val="24"/>
        </w:rPr>
      </w:pPr>
    </w:p>
    <w:p w:rsidR="007E1866" w:rsidRPr="003A3802" w:rsidRDefault="007E1866">
      <w:pPr>
        <w:rPr>
          <w:szCs w:val="24"/>
        </w:rPr>
      </w:pPr>
    </w:p>
    <w:sectPr w:rsidR="007E1866" w:rsidRPr="003A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475" w:rsidRDefault="002E4475">
      <w:r>
        <w:separator/>
      </w:r>
    </w:p>
  </w:endnote>
  <w:endnote w:type="continuationSeparator" w:id="0">
    <w:p w:rsidR="002E4475" w:rsidRDefault="002E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475" w:rsidRDefault="002E4475">
      <w:r>
        <w:separator/>
      </w:r>
    </w:p>
  </w:footnote>
  <w:footnote w:type="continuationSeparator" w:id="0">
    <w:p w:rsidR="002E4475" w:rsidRDefault="002E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7A70"/>
    <w:multiLevelType w:val="hybridMultilevel"/>
    <w:tmpl w:val="D9D4368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B91872"/>
    <w:multiLevelType w:val="hybridMultilevel"/>
    <w:tmpl w:val="F7065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9581F"/>
    <w:multiLevelType w:val="multilevel"/>
    <w:tmpl w:val="E9ECB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62259"/>
    <w:multiLevelType w:val="hybridMultilevel"/>
    <w:tmpl w:val="F6BE7FB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00516E"/>
    <w:multiLevelType w:val="hybridMultilevel"/>
    <w:tmpl w:val="E7FEB8A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71281"/>
    <w:multiLevelType w:val="hybridMultilevel"/>
    <w:tmpl w:val="375402D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3B6264"/>
    <w:multiLevelType w:val="hybridMultilevel"/>
    <w:tmpl w:val="F19A3F3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A9"/>
    <w:rsid w:val="000465F1"/>
    <w:rsid w:val="000B118B"/>
    <w:rsid w:val="000E13BF"/>
    <w:rsid w:val="00106311"/>
    <w:rsid w:val="001B49A9"/>
    <w:rsid w:val="001C5F28"/>
    <w:rsid w:val="00274876"/>
    <w:rsid w:val="002E4475"/>
    <w:rsid w:val="003A3802"/>
    <w:rsid w:val="003D4FD5"/>
    <w:rsid w:val="003E1100"/>
    <w:rsid w:val="00507867"/>
    <w:rsid w:val="005755EB"/>
    <w:rsid w:val="005A3105"/>
    <w:rsid w:val="00755E29"/>
    <w:rsid w:val="007E1866"/>
    <w:rsid w:val="007E56D6"/>
    <w:rsid w:val="00815C59"/>
    <w:rsid w:val="00991A7B"/>
    <w:rsid w:val="00A97614"/>
    <w:rsid w:val="00B96583"/>
    <w:rsid w:val="00BF3E54"/>
    <w:rsid w:val="00CA2758"/>
    <w:rsid w:val="00E31AF3"/>
    <w:rsid w:val="00E9218C"/>
    <w:rsid w:val="00F0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8B35"/>
  <w15:chartTrackingRefBased/>
  <w15:docId w15:val="{037757E5-8C44-40AF-A8FB-E8532DF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758"/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jc w:val="both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customStyle="1" w:styleId="VEC">
    <w:name w:val="VEC"/>
    <w:basedOn w:val="Normlny"/>
    <w:qFormat/>
    <w:rsid w:val="00A97614"/>
    <w:rPr>
      <w:rFonts w:eastAsia="Times New Roman"/>
      <w:lang w:val="en-US" w:eastAsia="sk-SK"/>
    </w:rPr>
  </w:style>
  <w:style w:type="paragraph" w:styleId="Odsekzoznamu">
    <w:name w:val="List Paragraph"/>
    <w:basedOn w:val="Normlny"/>
    <w:uiPriority w:val="34"/>
    <w:qFormat/>
    <w:rsid w:val="00A97614"/>
    <w:pPr>
      <w:ind w:left="708"/>
    </w:pPr>
    <w:rPr>
      <w:rFonts w:eastAsia="Times New Roman"/>
      <w:lang w:eastAsia="sk-SK"/>
    </w:rPr>
  </w:style>
  <w:style w:type="character" w:styleId="Siln">
    <w:name w:val="Strong"/>
    <w:basedOn w:val="Predvolenpsmoodseku"/>
    <w:uiPriority w:val="22"/>
    <w:qFormat/>
    <w:rsid w:val="003E110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92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armila.kovalska@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svar.sk/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MPSVR-2120083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Kočišová Renáta</dc:creator>
  <cp:keywords/>
  <dc:description/>
  <cp:lastModifiedBy>Velčková Katarína</cp:lastModifiedBy>
  <cp:revision>3</cp:revision>
  <dcterms:created xsi:type="dcterms:W3CDTF">2022-12-14T10:23:00Z</dcterms:created>
  <dcterms:modified xsi:type="dcterms:W3CDTF">2022-12-14T10:23:00Z</dcterms:modified>
</cp:coreProperties>
</file>